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782" w:rsidRDefault="00F80782" w:rsidP="00C3153A">
      <w:pPr>
        <w:jc w:val="center"/>
      </w:pPr>
    </w:p>
    <w:p w:rsidR="00674581" w:rsidRDefault="00C3153A" w:rsidP="00C3153A">
      <w:pPr>
        <w:jc w:val="center"/>
      </w:pPr>
      <w:r>
        <w:t>Nota de Prensa</w:t>
      </w:r>
    </w:p>
    <w:p w:rsidR="00DA74A1" w:rsidRDefault="00DA74A1" w:rsidP="00674581"/>
    <w:p w:rsidR="00674581" w:rsidRDefault="00C3153A" w:rsidP="00A8259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SAMPOL REGISTRA UN NUEVO PROGRAMA DE PAGARÉS</w:t>
      </w:r>
      <w:r w:rsidR="000B3580">
        <w:rPr>
          <w:rFonts w:ascii="Arial" w:hAnsi="Arial" w:cs="Arial"/>
          <w:b/>
        </w:rPr>
        <w:t xml:space="preserve"> DE 50 MILLONES</w:t>
      </w:r>
      <w:r>
        <w:rPr>
          <w:rFonts w:ascii="Arial" w:hAnsi="Arial" w:cs="Arial"/>
          <w:b/>
        </w:rPr>
        <w:t xml:space="preserve"> EN EL </w:t>
      </w:r>
      <w:r w:rsidR="00CF205F">
        <w:rPr>
          <w:rFonts w:ascii="Arial" w:hAnsi="Arial" w:cs="Arial"/>
          <w:b/>
        </w:rPr>
        <w:t>MARF</w:t>
      </w:r>
    </w:p>
    <w:p w:rsidR="00A82595" w:rsidRPr="00C3153A" w:rsidRDefault="00A82595" w:rsidP="00C3153A">
      <w:pPr>
        <w:jc w:val="both"/>
        <w:rPr>
          <w:b/>
          <w:i/>
          <w:lang w:val="es-ES_tradnl"/>
        </w:rPr>
      </w:pPr>
    </w:p>
    <w:p w:rsidR="00A82595" w:rsidRDefault="00B43BF3" w:rsidP="00A82595">
      <w:pPr>
        <w:pStyle w:val="Prrafodelista"/>
        <w:numPr>
          <w:ilvl w:val="0"/>
          <w:numId w:val="1"/>
        </w:numPr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 xml:space="preserve">Grupo SAMPOL </w:t>
      </w:r>
      <w:r w:rsidR="00565F97">
        <w:rPr>
          <w:b/>
          <w:i/>
          <w:lang w:val="es-ES_tradnl"/>
        </w:rPr>
        <w:t>cuenta con</w:t>
      </w:r>
      <w:r>
        <w:rPr>
          <w:b/>
          <w:i/>
          <w:lang w:val="es-ES_tradnl"/>
        </w:rPr>
        <w:t xml:space="preserve"> un rating financiero </w:t>
      </w:r>
      <w:r w:rsidR="00A62E5D">
        <w:rPr>
          <w:b/>
          <w:i/>
          <w:lang w:val="es-ES_tradnl"/>
        </w:rPr>
        <w:t xml:space="preserve">por Axesor </w:t>
      </w:r>
      <w:r>
        <w:rPr>
          <w:b/>
          <w:i/>
          <w:lang w:val="es-ES_tradnl"/>
        </w:rPr>
        <w:t>BBB</w:t>
      </w:r>
      <w:r w:rsidR="00DE6888">
        <w:rPr>
          <w:b/>
          <w:i/>
          <w:lang w:val="es-ES_tradnl"/>
        </w:rPr>
        <w:t>-</w:t>
      </w:r>
      <w:r>
        <w:rPr>
          <w:b/>
          <w:i/>
          <w:lang w:val="es-ES_tradnl"/>
        </w:rPr>
        <w:t xml:space="preserve">/Estable, </w:t>
      </w:r>
      <w:r w:rsidR="00565F97">
        <w:rPr>
          <w:b/>
          <w:i/>
          <w:lang w:val="es-ES_tradnl"/>
        </w:rPr>
        <w:t xml:space="preserve">goza de una </w:t>
      </w:r>
      <w:r>
        <w:rPr>
          <w:b/>
          <w:i/>
          <w:lang w:val="es-ES_tradnl"/>
        </w:rPr>
        <w:t xml:space="preserve">sólida solvencia, </w:t>
      </w:r>
      <w:r w:rsidR="00565F97">
        <w:rPr>
          <w:b/>
          <w:i/>
          <w:lang w:val="es-ES_tradnl"/>
        </w:rPr>
        <w:t xml:space="preserve">refrendada por la </w:t>
      </w:r>
      <w:r>
        <w:rPr>
          <w:b/>
          <w:i/>
          <w:lang w:val="es-ES_tradnl"/>
        </w:rPr>
        <w:t xml:space="preserve">continuidad en el crecimiento de </w:t>
      </w:r>
      <w:r w:rsidR="00565F97">
        <w:rPr>
          <w:b/>
          <w:i/>
          <w:lang w:val="es-ES_tradnl"/>
        </w:rPr>
        <w:t xml:space="preserve">sus </w:t>
      </w:r>
      <w:r>
        <w:rPr>
          <w:b/>
          <w:i/>
          <w:lang w:val="es-ES_tradnl"/>
        </w:rPr>
        <w:t>resultados</w:t>
      </w:r>
      <w:r w:rsidR="00565F97">
        <w:rPr>
          <w:b/>
          <w:i/>
          <w:lang w:val="es-ES_tradnl"/>
        </w:rPr>
        <w:t xml:space="preserve"> de los que destacan</w:t>
      </w:r>
      <w:r>
        <w:rPr>
          <w:b/>
          <w:i/>
          <w:lang w:val="es-ES_tradnl"/>
        </w:rPr>
        <w:t>,</w:t>
      </w:r>
      <w:r w:rsidR="00565F97">
        <w:rPr>
          <w:b/>
          <w:i/>
          <w:lang w:val="es-ES_tradnl"/>
        </w:rPr>
        <w:t xml:space="preserve"> un</w:t>
      </w:r>
      <w:r>
        <w:rPr>
          <w:b/>
          <w:i/>
          <w:lang w:val="es-ES_tradnl"/>
        </w:rPr>
        <w:t xml:space="preserve"> margen </w:t>
      </w:r>
      <w:r w:rsidR="00DE6888">
        <w:rPr>
          <w:b/>
          <w:i/>
          <w:lang w:val="es-ES_tradnl"/>
        </w:rPr>
        <w:t>de dos dígitos</w:t>
      </w:r>
      <w:r>
        <w:rPr>
          <w:b/>
          <w:i/>
          <w:lang w:val="es-ES_tradnl"/>
        </w:rPr>
        <w:t xml:space="preserve"> </w:t>
      </w:r>
      <w:r w:rsidR="00DE6888">
        <w:rPr>
          <w:b/>
          <w:i/>
          <w:lang w:val="es-ES_tradnl"/>
        </w:rPr>
        <w:t>de</w:t>
      </w:r>
      <w:r>
        <w:rPr>
          <w:b/>
          <w:i/>
          <w:lang w:val="es-ES_tradnl"/>
        </w:rPr>
        <w:t xml:space="preserve"> EBITDA y</w:t>
      </w:r>
      <w:r w:rsidR="00565F97">
        <w:rPr>
          <w:b/>
          <w:i/>
          <w:lang w:val="es-ES_tradnl"/>
        </w:rPr>
        <w:t xml:space="preserve"> su</w:t>
      </w:r>
      <w:r>
        <w:rPr>
          <w:b/>
          <w:i/>
          <w:lang w:val="es-ES_tradnl"/>
        </w:rPr>
        <w:t xml:space="preserve"> bajo nivel de endeudamiento.</w:t>
      </w:r>
    </w:p>
    <w:p w:rsidR="00B43BF3" w:rsidRDefault="00B43BF3" w:rsidP="00B43BF3">
      <w:pPr>
        <w:pStyle w:val="Prrafodelista"/>
        <w:jc w:val="both"/>
        <w:rPr>
          <w:b/>
          <w:i/>
          <w:lang w:val="es-ES_tradnl"/>
        </w:rPr>
      </w:pPr>
    </w:p>
    <w:p w:rsidR="00B43BF3" w:rsidRDefault="00B43BF3" w:rsidP="00A82595">
      <w:pPr>
        <w:pStyle w:val="Prrafodelista"/>
        <w:numPr>
          <w:ilvl w:val="0"/>
          <w:numId w:val="1"/>
        </w:numPr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>La multinacional mallorquina registra un Programa de Pagarés por</w:t>
      </w:r>
      <w:r w:rsidR="00DE6888">
        <w:rPr>
          <w:b/>
          <w:i/>
          <w:lang w:val="es-ES_tradnl"/>
        </w:rPr>
        <w:t xml:space="preserve"> </w:t>
      </w:r>
      <w:r w:rsidR="00905E19">
        <w:rPr>
          <w:b/>
          <w:i/>
          <w:lang w:val="es-ES_tradnl"/>
        </w:rPr>
        <w:t>importe</w:t>
      </w:r>
      <w:r>
        <w:rPr>
          <w:b/>
          <w:i/>
          <w:lang w:val="es-ES_tradnl"/>
        </w:rPr>
        <w:t xml:space="preserve"> de 50 millones de </w:t>
      </w:r>
      <w:r w:rsidR="00DE6888">
        <w:rPr>
          <w:b/>
          <w:i/>
          <w:lang w:val="es-ES_tradnl"/>
        </w:rPr>
        <w:t>e</w:t>
      </w:r>
      <w:r>
        <w:rPr>
          <w:b/>
          <w:i/>
          <w:lang w:val="es-ES_tradnl"/>
        </w:rPr>
        <w:t>uros.</w:t>
      </w:r>
    </w:p>
    <w:p w:rsidR="002B371C" w:rsidRPr="002B371C" w:rsidRDefault="002B371C" w:rsidP="002B371C">
      <w:pPr>
        <w:pStyle w:val="Prrafodelista"/>
        <w:rPr>
          <w:b/>
          <w:i/>
          <w:lang w:val="es-ES_tradnl"/>
        </w:rPr>
      </w:pPr>
    </w:p>
    <w:p w:rsidR="002B371C" w:rsidRPr="00C3153A" w:rsidRDefault="002B371C" w:rsidP="002B371C">
      <w:pPr>
        <w:pStyle w:val="Prrafodelista"/>
        <w:jc w:val="both"/>
        <w:rPr>
          <w:b/>
          <w:i/>
          <w:lang w:val="es-ES_tradnl"/>
        </w:rPr>
      </w:pPr>
    </w:p>
    <w:p w:rsidR="0000671B" w:rsidRDefault="00F53FFF" w:rsidP="00C3153A">
      <w:pPr>
        <w:jc w:val="both"/>
      </w:pPr>
      <w:r>
        <w:rPr>
          <w:b/>
          <w:i/>
        </w:rPr>
        <w:t>Palma de Mallorca, 1</w:t>
      </w:r>
      <w:r w:rsidR="0015573F">
        <w:rPr>
          <w:b/>
          <w:i/>
        </w:rPr>
        <w:t>8</w:t>
      </w:r>
      <w:r>
        <w:rPr>
          <w:b/>
          <w:i/>
        </w:rPr>
        <w:t xml:space="preserve"> de </w:t>
      </w:r>
      <w:r w:rsidR="00767DF9">
        <w:rPr>
          <w:b/>
          <w:i/>
        </w:rPr>
        <w:t>febrero</w:t>
      </w:r>
      <w:r>
        <w:rPr>
          <w:b/>
          <w:i/>
        </w:rPr>
        <w:t xml:space="preserve"> de 2020. </w:t>
      </w:r>
      <w:r>
        <w:t xml:space="preserve">Grupo SAMPOL, multinacional de capital español líder en soluciones de ingeniería aplicada, eficiencia energética y digitalización, ha </w:t>
      </w:r>
      <w:r w:rsidR="00C3153A">
        <w:t xml:space="preserve">registrado un Programa de Pagarés </w:t>
      </w:r>
      <w:r w:rsidR="00905E19">
        <w:t xml:space="preserve">en el Mercado Alternativo de Renta Fija (MARF) </w:t>
      </w:r>
      <w:r w:rsidR="00494281">
        <w:t xml:space="preserve">por un </w:t>
      </w:r>
      <w:r w:rsidR="000B3580">
        <w:t>saldo vivo</w:t>
      </w:r>
      <w:r w:rsidR="00905E19">
        <w:t xml:space="preserve"> de</w:t>
      </w:r>
      <w:r w:rsidR="00494281">
        <w:t xml:space="preserve"> 50 millones de </w:t>
      </w:r>
      <w:r w:rsidR="001F5A64">
        <w:t>e</w:t>
      </w:r>
      <w:r w:rsidR="00494281">
        <w:t>uros</w:t>
      </w:r>
      <w:r w:rsidR="0000671B">
        <w:t>.</w:t>
      </w:r>
      <w:r w:rsidR="00CF205F">
        <w:t xml:space="preserve"> </w:t>
      </w:r>
    </w:p>
    <w:p w:rsidR="00A62E5D" w:rsidRDefault="00494281" w:rsidP="00C3153A">
      <w:pPr>
        <w:jc w:val="both"/>
      </w:pPr>
      <w:r>
        <w:t>El</w:t>
      </w:r>
      <w:r w:rsidR="0000671B">
        <w:t xml:space="preserve"> Programa de Pagarés</w:t>
      </w:r>
      <w:r w:rsidR="004F6A07">
        <w:t xml:space="preserve"> </w:t>
      </w:r>
      <w:r>
        <w:t>de SAMPOL</w:t>
      </w:r>
      <w:r w:rsidR="001F5A64">
        <w:t xml:space="preserve">, </w:t>
      </w:r>
      <w:r w:rsidR="004F6A07">
        <w:t>permit</w:t>
      </w:r>
      <w:r w:rsidR="001F5A64">
        <w:t>irá</w:t>
      </w:r>
      <w:r w:rsidR="004F6A07">
        <w:t xml:space="preserve"> a la compañía continuar con el proceso de ampliación y diversificación de sus fuentes de financiación a corto plazo</w:t>
      </w:r>
      <w:r w:rsidR="00A1277D">
        <w:t xml:space="preserve">. </w:t>
      </w:r>
    </w:p>
    <w:p w:rsidR="00A62E5D" w:rsidRDefault="00A62E5D" w:rsidP="00C3153A">
      <w:pPr>
        <w:jc w:val="both"/>
      </w:pPr>
      <w:r>
        <w:t xml:space="preserve">Gracias a </w:t>
      </w:r>
      <w:r w:rsidR="00565F97">
        <w:t>la constitución y registro del nuevo Programa</w:t>
      </w:r>
      <w:r>
        <w:t xml:space="preserve">, SAMPOL dispondrá de </w:t>
      </w:r>
      <w:r w:rsidR="00A042A1">
        <w:t>nuevas</w:t>
      </w:r>
      <w:r>
        <w:t xml:space="preserve"> </w:t>
      </w:r>
      <w:r w:rsidR="004731E9">
        <w:t>herramientas de financiación</w:t>
      </w:r>
      <w:r>
        <w:t xml:space="preserve">, </w:t>
      </w:r>
      <w:r w:rsidR="00565F97">
        <w:t>que ayudarán a acometer</w:t>
      </w:r>
      <w:r w:rsidR="001221D8">
        <w:t xml:space="preserve"> </w:t>
      </w:r>
      <w:r>
        <w:t>los proyectos nacionales e internacionales en los que la mallorquina está inmersa, potenciando su circulante y ampliando las capacidades financieras de la compañía.</w:t>
      </w:r>
    </w:p>
    <w:p w:rsidR="00A62E5D" w:rsidRDefault="00A62E5D" w:rsidP="00C3153A">
      <w:pPr>
        <w:jc w:val="both"/>
      </w:pPr>
      <w:r>
        <w:t>La</w:t>
      </w:r>
      <w:r w:rsidRPr="00A52EC2">
        <w:t xml:space="preserve"> importante reducción del endeudamiento y </w:t>
      </w:r>
      <w:r w:rsidR="00565F97">
        <w:t>unido a un</w:t>
      </w:r>
      <w:r w:rsidRPr="00A52EC2">
        <w:t xml:space="preserve"> reparto equilibrado del calendario de vencimientos, refuerzan la solvencia </w:t>
      </w:r>
      <w:r>
        <w:t>y buena evolución del grupo</w:t>
      </w:r>
      <w:r w:rsidR="00565F97">
        <w:t>. C</w:t>
      </w:r>
      <w:r>
        <w:t>on el presente Programa de Pagarés abre la posibilidad de realizar emisiones individuales de Pagarés con nominales unitarios de 100.000 euros y plazos de vencimiento que podrán oscilar entre 3 días y 24 meses.</w:t>
      </w:r>
    </w:p>
    <w:p w:rsidR="00834CDE" w:rsidRDefault="00834CDE" w:rsidP="00C3153A">
      <w:pPr>
        <w:jc w:val="both"/>
      </w:pPr>
      <w:r w:rsidRPr="00834CDE">
        <w:t xml:space="preserve">Las </w:t>
      </w:r>
      <w:r w:rsidR="00A042A1">
        <w:t xml:space="preserve">participantes del programa </w:t>
      </w:r>
      <w:r w:rsidR="001221D8">
        <w:t>fueron</w:t>
      </w:r>
      <w:r w:rsidR="00A042A1">
        <w:t xml:space="preserve">: Ahorro Corporación </w:t>
      </w:r>
      <w:r w:rsidR="001221D8">
        <w:t xml:space="preserve">Financiera </w:t>
      </w:r>
      <w:r w:rsidR="00A042A1">
        <w:t xml:space="preserve">como Asesor Registrado y Agente </w:t>
      </w:r>
      <w:r w:rsidR="000B3580">
        <w:t>C</w:t>
      </w:r>
      <w:r w:rsidR="00A042A1">
        <w:t>olocado</w:t>
      </w:r>
      <w:r w:rsidR="001221D8">
        <w:t>r</w:t>
      </w:r>
      <w:r w:rsidR="00A042A1">
        <w:t>, Beka Finance</w:t>
      </w:r>
      <w:r w:rsidR="001221D8">
        <w:t xml:space="preserve"> como Agente Colocador y Agente de Pagos y Gómez-Acebo &amp; Pombo como Asesor Legal. </w:t>
      </w:r>
    </w:p>
    <w:p w:rsidR="008D5B52" w:rsidRDefault="00A1277D" w:rsidP="00C3153A">
      <w:pPr>
        <w:jc w:val="both"/>
      </w:pPr>
      <w:r>
        <w:t>Est</w:t>
      </w:r>
      <w:r w:rsidR="001221D8">
        <w:t xml:space="preserve">a segunda incursión de </w:t>
      </w:r>
      <w:r w:rsidR="00BA55FD">
        <w:t>Grupo SAMPOL</w:t>
      </w:r>
      <w:r w:rsidR="001221D8">
        <w:t xml:space="preserve"> en el MARF </w:t>
      </w:r>
      <w:r>
        <w:t xml:space="preserve">tiene lugar </w:t>
      </w:r>
      <w:r w:rsidR="004F6A07">
        <w:t xml:space="preserve">después </w:t>
      </w:r>
      <w:r>
        <w:t xml:space="preserve">de la magnífica acogida que tuvo en </w:t>
      </w:r>
      <w:r w:rsidR="004F6A07">
        <w:t xml:space="preserve">febrero de 2019 </w:t>
      </w:r>
      <w:r>
        <w:t xml:space="preserve">la emisión de </w:t>
      </w:r>
      <w:r w:rsidR="004F6A07">
        <w:t>un bono a cinco años por 25 millones de euros</w:t>
      </w:r>
      <w:r>
        <w:t>, y con cuyo primer pago</w:t>
      </w:r>
      <w:r w:rsidR="00B43BF3">
        <w:t xml:space="preserve"> </w:t>
      </w:r>
      <w:r w:rsidR="001F5A64">
        <w:t xml:space="preserve">de cupón </w:t>
      </w:r>
      <w:r w:rsidR="00B43BF3">
        <w:t>anual</w:t>
      </w:r>
      <w:r>
        <w:t xml:space="preserve"> ha cumplido</w:t>
      </w:r>
      <w:r w:rsidR="00B43BF3">
        <w:t xml:space="preserve"> reciente</w:t>
      </w:r>
      <w:r w:rsidR="00905E19">
        <w:t>mente</w:t>
      </w:r>
      <w:r w:rsidR="00036288">
        <w:t xml:space="preserve"> el pasado 13 de febrero de 2020.</w:t>
      </w:r>
      <w:r w:rsidR="00905E19">
        <w:t xml:space="preserve"> </w:t>
      </w:r>
    </w:p>
    <w:p w:rsidR="00DE6888" w:rsidRDefault="00B43BF3" w:rsidP="0000671B">
      <w:pPr>
        <w:jc w:val="both"/>
      </w:pPr>
      <w:r>
        <w:t>Grupo SAMPOL</w:t>
      </w:r>
      <w:r w:rsidR="00A1277D">
        <w:t xml:space="preserve"> </w:t>
      </w:r>
      <w:r w:rsidR="00494281">
        <w:t>tiene un posicionamiento histórico</w:t>
      </w:r>
      <w:r w:rsidR="001418F3">
        <w:t xml:space="preserve"> como contratista principal para el ciclo completo de ingeniería, puesta en marcha</w:t>
      </w:r>
      <w:r w:rsidR="00494281">
        <w:t>, así como</w:t>
      </w:r>
      <w:r w:rsidR="001418F3">
        <w:t xml:space="preserve"> operación y mantenimiento de infraestructuras, sistemas y telecomunicacione</w:t>
      </w:r>
      <w:r w:rsidR="0056031E">
        <w:t>s. Su negocio se</w:t>
      </w:r>
      <w:r w:rsidR="001418F3">
        <w:t xml:space="preserve"> centra en los sectores aeroportuario, hotelero y de plantas de energía, principalmente de cogeneración y </w:t>
      </w:r>
      <w:r w:rsidR="001418F3">
        <w:lastRenderedPageBreak/>
        <w:t xml:space="preserve">trigeneración. </w:t>
      </w:r>
      <w:r>
        <w:t>Además, cuenta</w:t>
      </w:r>
      <w:r w:rsidR="0056031E">
        <w:t xml:space="preserve"> con una fuerte implantación a nivel internacional dónde destaca el eje España-Caribe, el cual en 2018 supuso el 80% de</w:t>
      </w:r>
      <w:r w:rsidR="007E765E">
        <w:t xml:space="preserve"> su </w:t>
      </w:r>
      <w:r w:rsidR="0056031E">
        <w:t>EBITDA</w:t>
      </w:r>
      <w:r w:rsidR="00DE6888">
        <w:t xml:space="preserve"> y donde seguirá invirtiendo</w:t>
      </w:r>
      <w:r w:rsidR="001F5A64">
        <w:t xml:space="preserve"> en línea con su Plan Estratégico 2019-2020</w:t>
      </w:r>
      <w:r w:rsidR="00DE6888">
        <w:t>.</w:t>
      </w:r>
    </w:p>
    <w:p w:rsidR="00A52EC2" w:rsidRDefault="00494281" w:rsidP="0000671B">
      <w:pPr>
        <w:jc w:val="both"/>
      </w:pPr>
      <w:r>
        <w:t xml:space="preserve">En lo que </w:t>
      </w:r>
      <w:r w:rsidR="00565F97">
        <w:t>a la solvencia financiera se refiere,</w:t>
      </w:r>
      <w:r>
        <w:t xml:space="preserve"> SAMPOL</w:t>
      </w:r>
      <w:r w:rsidR="001221D8">
        <w:t xml:space="preserve"> cuenta con </w:t>
      </w:r>
      <w:r w:rsidR="0000671B">
        <w:t>un rating financiero BBB-/Estable</w:t>
      </w:r>
      <w:r w:rsidR="001221D8">
        <w:t xml:space="preserve"> emitido por Axesor en diciembre de 2019</w:t>
      </w:r>
      <w:r w:rsidR="00565F97">
        <w:t>, que pone en relieve su alta calidad crediticia</w:t>
      </w:r>
      <w:r w:rsidR="0000671B">
        <w:t xml:space="preserve">, fruto de la continuidad en el crecimiento de resultados, un margen </w:t>
      </w:r>
      <w:r w:rsidR="001F5A64">
        <w:t xml:space="preserve">de dos dígitos </w:t>
      </w:r>
      <w:r w:rsidR="0000671B">
        <w:t xml:space="preserve">de EBITDA y un bajo nivel de endeudamiento. </w:t>
      </w:r>
    </w:p>
    <w:p w:rsidR="00037ED6" w:rsidRDefault="00A52EC2" w:rsidP="0000671B">
      <w:pPr>
        <w:jc w:val="both"/>
      </w:pPr>
      <w:r>
        <w:t>La</w:t>
      </w:r>
      <w:r w:rsidR="00037ED6">
        <w:t xml:space="preserve"> cifra de negocio</w:t>
      </w:r>
      <w:r>
        <w:t xml:space="preserve"> de la multinacional</w:t>
      </w:r>
      <w:r w:rsidR="00037ED6">
        <w:t>, en 2018 superó los 175M€</w:t>
      </w:r>
      <w:r w:rsidR="00494281">
        <w:t>,</w:t>
      </w:r>
      <w:r w:rsidR="00037ED6">
        <w:t xml:space="preserve"> </w:t>
      </w:r>
      <w:r w:rsidR="00494281">
        <w:t xml:space="preserve">y </w:t>
      </w:r>
      <w:r w:rsidR="00037ED6">
        <w:t>alcanzó los 94,9M€ en el primer semestre de 2019.</w:t>
      </w:r>
      <w:r>
        <w:t xml:space="preserve"> </w:t>
      </w:r>
      <w:r w:rsidR="000B3580">
        <w:t>El</w:t>
      </w:r>
      <w:r>
        <w:t xml:space="preserve"> EBITDA </w:t>
      </w:r>
      <w:r w:rsidR="000B3580">
        <w:t>a diciembre de 2018 es de 23,8  M€y de</w:t>
      </w:r>
      <w:r>
        <w:t xml:space="preserve"> </w:t>
      </w:r>
      <w:r w:rsidR="00B86200">
        <w:t>12</w:t>
      </w:r>
      <w:r w:rsidR="000B3580">
        <w:t>,</w:t>
      </w:r>
      <w:r w:rsidR="00B86200">
        <w:t>6 € en junio</w:t>
      </w:r>
      <w:r>
        <w:t xml:space="preserve"> de 2019. La </w:t>
      </w:r>
      <w:r w:rsidR="00494281">
        <w:t xml:space="preserve">deuda financiera neta </w:t>
      </w:r>
      <w:r>
        <w:t xml:space="preserve">ha descendido </w:t>
      </w:r>
      <w:r w:rsidR="00494281">
        <w:t xml:space="preserve">de 28,8 </w:t>
      </w:r>
      <w:r w:rsidR="000B3580">
        <w:t xml:space="preserve">M€ </w:t>
      </w:r>
      <w:r w:rsidR="00494281">
        <w:t xml:space="preserve">en 2017 a -1,2 </w:t>
      </w:r>
      <w:r w:rsidR="000B3580">
        <w:t>M€</w:t>
      </w:r>
      <w:r w:rsidR="00494281">
        <w:t xml:space="preserve"> en 2018</w:t>
      </w:r>
      <w:r w:rsidR="001D5D64">
        <w:t>.</w:t>
      </w:r>
    </w:p>
    <w:p w:rsidR="004C756F" w:rsidRDefault="004C756F" w:rsidP="00674581">
      <w:pPr>
        <w:widowControl w:val="0"/>
        <w:autoSpaceDE w:val="0"/>
        <w:autoSpaceDN w:val="0"/>
        <w:adjustRightInd w:val="0"/>
        <w:ind w:right="19"/>
        <w:jc w:val="both"/>
      </w:pPr>
    </w:p>
    <w:p w:rsidR="004B36D6" w:rsidRPr="004B36D6" w:rsidRDefault="004B36D6" w:rsidP="00674581">
      <w:pPr>
        <w:widowControl w:val="0"/>
        <w:autoSpaceDE w:val="0"/>
        <w:autoSpaceDN w:val="0"/>
        <w:adjustRightInd w:val="0"/>
        <w:ind w:right="19"/>
        <w:jc w:val="both"/>
        <w:rPr>
          <w:b/>
        </w:rPr>
      </w:pPr>
      <w:r w:rsidRPr="004B36D6">
        <w:rPr>
          <w:b/>
        </w:rPr>
        <w:t>Sobre SAMPOL</w:t>
      </w:r>
    </w:p>
    <w:p w:rsidR="00674581" w:rsidRPr="00E957AF" w:rsidRDefault="00674581" w:rsidP="00674581">
      <w:pPr>
        <w:widowControl w:val="0"/>
        <w:autoSpaceDE w:val="0"/>
        <w:autoSpaceDN w:val="0"/>
        <w:adjustRightInd w:val="0"/>
        <w:ind w:right="19"/>
        <w:jc w:val="both"/>
      </w:pPr>
      <w:r w:rsidRPr="00E957AF">
        <w:t>SAMPOL es un grupo multinacional de capital español líder en soluciones de ingeniería aplicada</w:t>
      </w:r>
      <w:r w:rsidR="004B36D6">
        <w:t xml:space="preserve">, </w:t>
      </w:r>
      <w:r w:rsidRPr="00E957AF">
        <w:t xml:space="preserve">a distintos sectores públicos o privados. La compañía se fundó en Mallorca en 1934 y actualmente desarrolla su actividad en tres grandes líneas de negocio: (i) la proyección, construcción y explotación de proyectos energéticos, plantas de generación de energía, cogeneración, energías renovables y soluciones de ahorro energético. (ii) la realización de instalaciones integrales en hoteles, aeropuertos, edificios emblemáticos, etc... (iii) el desarrollo de soluciones tecnológicas orientadas a la digitalización y creación de softwares a medida </w:t>
      </w:r>
      <w:r w:rsidR="001F5A64">
        <w:t>del cliente.</w:t>
      </w:r>
    </w:p>
    <w:p w:rsidR="00674581" w:rsidRDefault="00674581" w:rsidP="00674581">
      <w:pPr>
        <w:widowControl w:val="0"/>
        <w:autoSpaceDE w:val="0"/>
        <w:autoSpaceDN w:val="0"/>
        <w:adjustRightInd w:val="0"/>
        <w:ind w:right="19"/>
        <w:jc w:val="both"/>
      </w:pPr>
      <w:r w:rsidRPr="00E957AF">
        <w:t>El Grupo tiene presencia permanente en España, México, República Dominicana, Jamaica, Italia, Panamá, Cabo Verde</w:t>
      </w:r>
      <w:r>
        <w:t>, Colombia</w:t>
      </w:r>
      <w:r w:rsidR="006309ED">
        <w:t>, Canadá</w:t>
      </w:r>
      <w:r w:rsidRPr="00E957AF">
        <w:t xml:space="preserve"> y Puerto Rico, y a lo largo de sus 85 años de historia</w:t>
      </w:r>
      <w:r>
        <w:t xml:space="preserve"> h</w:t>
      </w:r>
      <w:r w:rsidRPr="00E957AF">
        <w:t>a desarrollado proyectos internacionales en 1</w:t>
      </w:r>
      <w:r w:rsidR="00F857F2">
        <w:t>9</w:t>
      </w:r>
      <w:r w:rsidRPr="00E957AF">
        <w:t xml:space="preserve"> países</w:t>
      </w:r>
      <w:r>
        <w:t xml:space="preserve"> y 4 continentes.</w:t>
      </w:r>
    </w:p>
    <w:p w:rsidR="00ED40A5" w:rsidRPr="00E957AF" w:rsidRDefault="00ED40A5" w:rsidP="00674581">
      <w:pPr>
        <w:widowControl w:val="0"/>
        <w:autoSpaceDE w:val="0"/>
        <w:autoSpaceDN w:val="0"/>
        <w:adjustRightInd w:val="0"/>
        <w:ind w:right="19"/>
        <w:jc w:val="both"/>
      </w:pPr>
      <w:r>
        <w:t>www.sampol.com</w:t>
      </w:r>
    </w:p>
    <w:p w:rsidR="00DA74A1" w:rsidRPr="00DA74A1" w:rsidRDefault="00DA74A1" w:rsidP="00ED40A5">
      <w:pPr>
        <w:spacing w:after="0" w:line="240" w:lineRule="auto"/>
        <w:rPr>
          <w:rFonts w:ascii="Calibri" w:hAnsi="Calibri" w:cs="Calibri"/>
          <w:b/>
          <w:i/>
        </w:rPr>
      </w:pPr>
      <w:r w:rsidRPr="00DA74A1">
        <w:rPr>
          <w:rFonts w:ascii="Calibri" w:hAnsi="Calibri" w:cs="Calibri"/>
          <w:b/>
          <w:i/>
        </w:rPr>
        <w:t xml:space="preserve">Para más información: </w:t>
      </w:r>
    </w:p>
    <w:p w:rsidR="00287766" w:rsidRPr="00ED40A5" w:rsidRDefault="004B36D6" w:rsidP="00ED40A5">
      <w:pPr>
        <w:spacing w:after="0" w:line="240" w:lineRule="auto"/>
        <w:rPr>
          <w:rFonts w:ascii="Calibri" w:hAnsi="Calibri" w:cs="Calibri"/>
          <w:bCs/>
          <w:i/>
        </w:rPr>
      </w:pPr>
      <w:bookmarkStart w:id="0" w:name="_GoBack"/>
      <w:bookmarkEnd w:id="0"/>
      <w:r w:rsidRPr="00ED40A5">
        <w:rPr>
          <w:rFonts w:ascii="Calibri" w:hAnsi="Calibri" w:cs="Calibri"/>
          <w:bCs/>
          <w:i/>
        </w:rPr>
        <w:t>Comunicación</w:t>
      </w:r>
      <w:r w:rsidR="00EF28D6">
        <w:rPr>
          <w:rFonts w:ascii="Calibri" w:hAnsi="Calibri" w:cs="Calibri"/>
          <w:bCs/>
          <w:i/>
        </w:rPr>
        <w:t xml:space="preserve"> Corporativa</w:t>
      </w:r>
      <w:r w:rsidRPr="00ED40A5">
        <w:rPr>
          <w:rFonts w:ascii="Calibri" w:hAnsi="Calibri" w:cs="Calibri"/>
          <w:bCs/>
          <w:i/>
        </w:rPr>
        <w:t xml:space="preserve"> Grupo SAMPOL </w:t>
      </w:r>
      <w:r w:rsidR="00ED40A5">
        <w:rPr>
          <w:rFonts w:ascii="Calibri" w:hAnsi="Calibri" w:cs="Calibri"/>
          <w:bCs/>
          <w:i/>
        </w:rPr>
        <w:t xml:space="preserve">/ </w:t>
      </w:r>
      <w:r w:rsidR="00ED40A5" w:rsidRPr="00ED40A5">
        <w:rPr>
          <w:rFonts w:ascii="Calibri" w:hAnsi="Calibri" w:cs="Calibri"/>
          <w:bCs/>
          <w:i/>
        </w:rPr>
        <w:t xml:space="preserve">Vanessa Feo / </w:t>
      </w:r>
      <w:r w:rsidRPr="00ED40A5">
        <w:rPr>
          <w:rFonts w:ascii="Calibri" w:hAnsi="Calibri" w:cs="Calibri"/>
          <w:bCs/>
          <w:i/>
        </w:rPr>
        <w:t xml:space="preserve"> </w:t>
      </w:r>
      <w:hyperlink r:id="rId7" w:history="1">
        <w:r w:rsidR="00ED40A5" w:rsidRPr="00ED40A5">
          <w:rPr>
            <w:rStyle w:val="Hipervnculo"/>
            <w:rFonts w:ascii="Calibri" w:hAnsi="Calibri" w:cs="Calibri"/>
            <w:bCs/>
            <w:i/>
          </w:rPr>
          <w:t>vfeo@sampol.com</w:t>
        </w:r>
      </w:hyperlink>
      <w:r w:rsidRPr="00ED40A5">
        <w:rPr>
          <w:rFonts w:ascii="Calibri" w:hAnsi="Calibri" w:cs="Calibri"/>
          <w:bCs/>
          <w:i/>
        </w:rPr>
        <w:t xml:space="preserve"> / </w:t>
      </w:r>
      <w:r w:rsidR="00ED40A5" w:rsidRPr="00ED40A5">
        <w:rPr>
          <w:rFonts w:ascii="Calibri" w:hAnsi="Calibri" w:cs="Calibri"/>
          <w:bCs/>
          <w:i/>
        </w:rPr>
        <w:t>627201952</w:t>
      </w:r>
    </w:p>
    <w:p w:rsidR="00DA74A1" w:rsidRPr="00ED40A5" w:rsidRDefault="00DA74A1">
      <w:pPr>
        <w:rPr>
          <w:b/>
        </w:rPr>
      </w:pPr>
    </w:p>
    <w:sectPr w:rsidR="00DA74A1" w:rsidRPr="00ED40A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07" w:rsidRDefault="000A6307" w:rsidP="00DA74A1">
      <w:pPr>
        <w:spacing w:after="0" w:line="240" w:lineRule="auto"/>
      </w:pPr>
      <w:r>
        <w:separator/>
      </w:r>
    </w:p>
  </w:endnote>
  <w:endnote w:type="continuationSeparator" w:id="0">
    <w:p w:rsidR="000A6307" w:rsidRDefault="000A6307" w:rsidP="00DA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07" w:rsidRDefault="000A6307" w:rsidP="00DA74A1">
      <w:pPr>
        <w:spacing w:after="0" w:line="240" w:lineRule="auto"/>
      </w:pPr>
      <w:r>
        <w:separator/>
      </w:r>
    </w:p>
  </w:footnote>
  <w:footnote w:type="continuationSeparator" w:id="0">
    <w:p w:rsidR="000A6307" w:rsidRDefault="000A6307" w:rsidP="00DA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A1" w:rsidRDefault="00D2612E">
    <w:pPr>
      <w:pStyle w:val="Encabezado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F50CA" wp14:editId="7B3B3344">
          <wp:simplePos x="0" y="0"/>
          <wp:positionH relativeFrom="margin">
            <wp:posOffset>1411579</wp:posOffset>
          </wp:positionH>
          <wp:positionV relativeFrom="paragraph">
            <wp:posOffset>55651</wp:posOffset>
          </wp:positionV>
          <wp:extent cx="2403044" cy="514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80x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044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612E" w:rsidRDefault="00D2612E">
    <w:pPr>
      <w:pStyle w:val="Encabezado"/>
      <w:rPr>
        <w:b/>
      </w:rPr>
    </w:pPr>
  </w:p>
  <w:p w:rsidR="00D2612E" w:rsidRDefault="00D2612E">
    <w:pPr>
      <w:pStyle w:val="Encabezado"/>
      <w:rPr>
        <w:b/>
      </w:rPr>
    </w:pPr>
  </w:p>
  <w:p w:rsidR="00D2612E" w:rsidRDefault="00D2612E">
    <w:pPr>
      <w:pStyle w:val="Encabezado"/>
      <w:rPr>
        <w:b/>
      </w:rPr>
    </w:pPr>
  </w:p>
  <w:p w:rsidR="00D2612E" w:rsidRPr="00DA74A1" w:rsidRDefault="00D2612E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0748"/>
    <w:multiLevelType w:val="hybridMultilevel"/>
    <w:tmpl w:val="F9D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1"/>
    <w:rsid w:val="0000671B"/>
    <w:rsid w:val="00036288"/>
    <w:rsid w:val="00037ED6"/>
    <w:rsid w:val="000A6307"/>
    <w:rsid w:val="000B3580"/>
    <w:rsid w:val="000B7C02"/>
    <w:rsid w:val="00113D19"/>
    <w:rsid w:val="001221D8"/>
    <w:rsid w:val="001418F3"/>
    <w:rsid w:val="0015573F"/>
    <w:rsid w:val="001D5D64"/>
    <w:rsid w:val="001F5A64"/>
    <w:rsid w:val="00287766"/>
    <w:rsid w:val="00292D17"/>
    <w:rsid w:val="002B2871"/>
    <w:rsid w:val="002B371C"/>
    <w:rsid w:val="002E4F09"/>
    <w:rsid w:val="0037368C"/>
    <w:rsid w:val="003E02B7"/>
    <w:rsid w:val="004637B8"/>
    <w:rsid w:val="0047014E"/>
    <w:rsid w:val="004731E9"/>
    <w:rsid w:val="00481003"/>
    <w:rsid w:val="00494281"/>
    <w:rsid w:val="004B36D6"/>
    <w:rsid w:val="004C756F"/>
    <w:rsid w:val="004F6A07"/>
    <w:rsid w:val="005518EA"/>
    <w:rsid w:val="0056031E"/>
    <w:rsid w:val="00565F97"/>
    <w:rsid w:val="006309ED"/>
    <w:rsid w:val="00674581"/>
    <w:rsid w:val="00767DF9"/>
    <w:rsid w:val="00792142"/>
    <w:rsid w:val="007E765E"/>
    <w:rsid w:val="00834CDE"/>
    <w:rsid w:val="00857922"/>
    <w:rsid w:val="008579F5"/>
    <w:rsid w:val="008D5B52"/>
    <w:rsid w:val="00905E19"/>
    <w:rsid w:val="009D47B6"/>
    <w:rsid w:val="00A042A1"/>
    <w:rsid w:val="00A1277D"/>
    <w:rsid w:val="00A164E7"/>
    <w:rsid w:val="00A3491C"/>
    <w:rsid w:val="00A52EC2"/>
    <w:rsid w:val="00A62E5D"/>
    <w:rsid w:val="00A82595"/>
    <w:rsid w:val="00A942E7"/>
    <w:rsid w:val="00B43BF3"/>
    <w:rsid w:val="00B86200"/>
    <w:rsid w:val="00BA55FD"/>
    <w:rsid w:val="00BB3319"/>
    <w:rsid w:val="00BB3DE4"/>
    <w:rsid w:val="00C15B34"/>
    <w:rsid w:val="00C3153A"/>
    <w:rsid w:val="00CF205F"/>
    <w:rsid w:val="00D2612E"/>
    <w:rsid w:val="00DA74A1"/>
    <w:rsid w:val="00DE6888"/>
    <w:rsid w:val="00ED40A5"/>
    <w:rsid w:val="00EE3E16"/>
    <w:rsid w:val="00EF28D6"/>
    <w:rsid w:val="00EF79FF"/>
    <w:rsid w:val="00F123C0"/>
    <w:rsid w:val="00F53FFF"/>
    <w:rsid w:val="00F80782"/>
    <w:rsid w:val="00F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EF97"/>
  <w15:chartTrackingRefBased/>
  <w15:docId w15:val="{6BE963B1-8EC1-4AD9-A6B4-880D29F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4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45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B36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36D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825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4A1"/>
  </w:style>
  <w:style w:type="paragraph" w:styleId="Piedepgina">
    <w:name w:val="footer"/>
    <w:basedOn w:val="Normal"/>
    <w:link w:val="PiedepginaCar"/>
    <w:uiPriority w:val="99"/>
    <w:unhideWhenUsed/>
    <w:rsid w:val="00DA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A1"/>
  </w:style>
  <w:style w:type="paragraph" w:styleId="Textodeglobo">
    <w:name w:val="Balloon Text"/>
    <w:basedOn w:val="Normal"/>
    <w:link w:val="TextodegloboCar"/>
    <w:uiPriority w:val="99"/>
    <w:semiHidden/>
    <w:unhideWhenUsed/>
    <w:rsid w:val="00F8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feo@samp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Vasallo Vilar</dc:creator>
  <cp:keywords/>
  <dc:description/>
  <cp:lastModifiedBy>Vanessa Feo Kutsch</cp:lastModifiedBy>
  <cp:revision>5</cp:revision>
  <dcterms:created xsi:type="dcterms:W3CDTF">2020-02-13T10:13:00Z</dcterms:created>
  <dcterms:modified xsi:type="dcterms:W3CDTF">2020-02-18T10:43:00Z</dcterms:modified>
</cp:coreProperties>
</file>